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C5C" w:rsidRDefault="00A67C5C" w:rsidP="00A67C5C">
      <w:pPr>
        <w:spacing w:line="264" w:lineRule="auto"/>
        <w:outlineLvl w:val="1"/>
        <w:rPr>
          <w:color w:val="000000"/>
          <w:sz w:val="30"/>
          <w:szCs w:val="30"/>
        </w:rPr>
      </w:pPr>
      <w:r>
        <w:rPr>
          <w:color w:val="000000"/>
          <w:sz w:val="30"/>
          <w:szCs w:val="30"/>
        </w:rPr>
        <w:t>Размещено в газете «</w:t>
      </w:r>
      <w:proofErr w:type="spellStart"/>
      <w:r>
        <w:rPr>
          <w:color w:val="000000"/>
          <w:sz w:val="30"/>
          <w:szCs w:val="30"/>
        </w:rPr>
        <w:t>Аршанская</w:t>
      </w:r>
      <w:proofErr w:type="spellEnd"/>
      <w:r>
        <w:rPr>
          <w:color w:val="000000"/>
          <w:sz w:val="30"/>
          <w:szCs w:val="30"/>
        </w:rPr>
        <w:t xml:space="preserve"> газета» от 18.10.2025 № 80.</w:t>
      </w:r>
    </w:p>
    <w:p w:rsidR="00A67C5C" w:rsidRDefault="00A67C5C" w:rsidP="00A67C5C">
      <w:pPr>
        <w:spacing w:line="264" w:lineRule="auto"/>
        <w:outlineLvl w:val="1"/>
        <w:rPr>
          <w:color w:val="000000"/>
          <w:sz w:val="30"/>
          <w:szCs w:val="30"/>
        </w:rPr>
      </w:pPr>
    </w:p>
    <w:p w:rsidR="00A67C5C" w:rsidRDefault="00A67C5C" w:rsidP="00A67C5C">
      <w:pPr>
        <w:spacing w:line="270" w:lineRule="atLeast"/>
        <w:ind w:firstLine="708"/>
        <w:jc w:val="both"/>
        <w:rPr>
          <w:bCs/>
          <w:sz w:val="30"/>
          <w:szCs w:val="30"/>
        </w:rPr>
      </w:pPr>
      <w:r>
        <w:rPr>
          <w:bCs/>
          <w:sz w:val="30"/>
          <w:szCs w:val="30"/>
        </w:rPr>
        <w:t>Оршанский районный исполнительный комитет на основании Положения о порядке продажи без проведения аукционов пустующих жилых домов, организации и проведения аукционов по их продаже, утвержденного постановлением Совета Министров Республики Беларусь от 23 сентября 2021 г. № 547 «О реализации Указа Президента Республики Беларусь от 24 марта 2021 г. № 116»,</w:t>
      </w:r>
      <w:r>
        <w:rPr>
          <w:bCs/>
          <w:spacing w:val="-18"/>
          <w:sz w:val="30"/>
          <w:szCs w:val="30"/>
        </w:rPr>
        <w:t xml:space="preserve"> информирует о продаже </w:t>
      </w:r>
      <w:r w:rsidRPr="007F758E">
        <w:rPr>
          <w:bCs/>
          <w:spacing w:val="-18"/>
          <w:sz w:val="30"/>
          <w:szCs w:val="30"/>
        </w:rPr>
        <w:t xml:space="preserve">пустующего дома, расположенного </w:t>
      </w:r>
      <w:r>
        <w:rPr>
          <w:bCs/>
          <w:sz w:val="30"/>
          <w:szCs w:val="30"/>
        </w:rPr>
        <w:t>на территории Оршанского района:</w:t>
      </w:r>
    </w:p>
    <w:p w:rsidR="00A67C5C" w:rsidRPr="00A67C5C" w:rsidRDefault="00A67C5C" w:rsidP="00A67C5C">
      <w:pPr>
        <w:spacing w:line="270" w:lineRule="atLeast"/>
        <w:ind w:firstLine="708"/>
        <w:jc w:val="both"/>
        <w:rPr>
          <w:bCs/>
          <w:sz w:val="30"/>
          <w:szCs w:val="30"/>
        </w:rPr>
      </w:pPr>
    </w:p>
    <w:tbl>
      <w:tblPr>
        <w:tblW w:w="9923" w:type="dxa"/>
        <w:tblInd w:w="-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26"/>
        <w:gridCol w:w="3260"/>
        <w:gridCol w:w="2835"/>
        <w:gridCol w:w="1417"/>
        <w:gridCol w:w="1985"/>
      </w:tblGrid>
      <w:tr w:rsidR="00A67C5C" w:rsidRPr="00A67C5C" w:rsidTr="000920AA">
        <w:tc>
          <w:tcPr>
            <w:tcW w:w="426" w:type="dxa"/>
            <w:tcBorders>
              <w:top w:val="outset" w:sz="6" w:space="0" w:color="auto"/>
              <w:left w:val="outset" w:sz="6" w:space="0" w:color="auto"/>
              <w:bottom w:val="outset" w:sz="6" w:space="0" w:color="auto"/>
              <w:right w:val="outset" w:sz="6" w:space="0" w:color="auto"/>
            </w:tcBorders>
          </w:tcPr>
          <w:p w:rsidR="00A67C5C" w:rsidRPr="00A67C5C" w:rsidRDefault="00A67C5C" w:rsidP="00A67C5C">
            <w:pPr>
              <w:jc w:val="center"/>
              <w:rPr>
                <w:color w:val="333333"/>
                <w:sz w:val="21"/>
                <w:szCs w:val="21"/>
              </w:rPr>
            </w:pPr>
            <w:r w:rsidRPr="00A67C5C">
              <w:rPr>
                <w:bCs/>
                <w:color w:val="333333"/>
                <w:sz w:val="21"/>
                <w:szCs w:val="21"/>
              </w:rPr>
              <w:t>№ п/п</w:t>
            </w:r>
          </w:p>
        </w:tc>
        <w:tc>
          <w:tcPr>
            <w:tcW w:w="3260" w:type="dxa"/>
            <w:tcBorders>
              <w:top w:val="outset" w:sz="6" w:space="0" w:color="auto"/>
              <w:left w:val="outset" w:sz="6" w:space="0" w:color="auto"/>
              <w:bottom w:val="outset" w:sz="6" w:space="0" w:color="auto"/>
              <w:right w:val="outset" w:sz="6" w:space="0" w:color="auto"/>
            </w:tcBorders>
          </w:tcPr>
          <w:p w:rsidR="00A67C5C" w:rsidRPr="00A67C5C" w:rsidRDefault="00A67C5C" w:rsidP="00A67C5C">
            <w:pPr>
              <w:jc w:val="center"/>
              <w:rPr>
                <w:color w:val="333333"/>
                <w:sz w:val="21"/>
                <w:szCs w:val="21"/>
              </w:rPr>
            </w:pPr>
            <w:r w:rsidRPr="00A67C5C">
              <w:rPr>
                <w:bCs/>
                <w:color w:val="333333"/>
                <w:sz w:val="21"/>
                <w:szCs w:val="21"/>
              </w:rPr>
              <w:t>Адрес пустующего дома</w:t>
            </w:r>
          </w:p>
        </w:tc>
        <w:tc>
          <w:tcPr>
            <w:tcW w:w="2835" w:type="dxa"/>
            <w:tcBorders>
              <w:top w:val="outset" w:sz="6" w:space="0" w:color="auto"/>
              <w:left w:val="outset" w:sz="6" w:space="0" w:color="auto"/>
              <w:bottom w:val="outset" w:sz="6" w:space="0" w:color="auto"/>
              <w:right w:val="outset" w:sz="6" w:space="0" w:color="auto"/>
            </w:tcBorders>
          </w:tcPr>
          <w:p w:rsidR="00A67C5C" w:rsidRPr="00A67C5C" w:rsidRDefault="00A67C5C" w:rsidP="00A67C5C">
            <w:pPr>
              <w:jc w:val="center"/>
              <w:rPr>
                <w:color w:val="333333"/>
                <w:sz w:val="21"/>
                <w:szCs w:val="21"/>
              </w:rPr>
            </w:pPr>
            <w:r w:rsidRPr="00A67C5C">
              <w:rPr>
                <w:bCs/>
                <w:color w:val="333333"/>
                <w:sz w:val="21"/>
                <w:szCs w:val="21"/>
              </w:rPr>
              <w:t>Характеристики пустующего дома</w:t>
            </w:r>
          </w:p>
        </w:tc>
        <w:tc>
          <w:tcPr>
            <w:tcW w:w="1417" w:type="dxa"/>
            <w:tcBorders>
              <w:top w:val="outset" w:sz="6" w:space="0" w:color="auto"/>
              <w:left w:val="outset" w:sz="6" w:space="0" w:color="auto"/>
              <w:bottom w:val="outset" w:sz="6" w:space="0" w:color="auto"/>
              <w:right w:val="outset" w:sz="6" w:space="0" w:color="auto"/>
            </w:tcBorders>
          </w:tcPr>
          <w:p w:rsidR="00A67C5C" w:rsidRPr="00A67C5C" w:rsidRDefault="00A67C5C" w:rsidP="00A67C5C">
            <w:pPr>
              <w:jc w:val="center"/>
              <w:rPr>
                <w:bCs/>
                <w:color w:val="333333"/>
                <w:sz w:val="21"/>
                <w:szCs w:val="21"/>
              </w:rPr>
            </w:pPr>
            <w:r w:rsidRPr="00A67C5C">
              <w:rPr>
                <w:bCs/>
                <w:color w:val="333333"/>
                <w:sz w:val="21"/>
                <w:szCs w:val="21"/>
              </w:rPr>
              <w:t xml:space="preserve">Инвентарный </w:t>
            </w:r>
          </w:p>
          <w:p w:rsidR="00A67C5C" w:rsidRPr="00A67C5C" w:rsidRDefault="00A67C5C" w:rsidP="00A67C5C">
            <w:pPr>
              <w:jc w:val="center"/>
              <w:rPr>
                <w:bCs/>
                <w:color w:val="333333"/>
                <w:sz w:val="21"/>
                <w:szCs w:val="21"/>
              </w:rPr>
            </w:pPr>
            <w:r w:rsidRPr="00A67C5C">
              <w:rPr>
                <w:bCs/>
                <w:color w:val="333333"/>
                <w:sz w:val="21"/>
                <w:szCs w:val="21"/>
              </w:rPr>
              <w:t>номер</w:t>
            </w:r>
          </w:p>
        </w:tc>
        <w:tc>
          <w:tcPr>
            <w:tcW w:w="1985" w:type="dxa"/>
            <w:tcBorders>
              <w:top w:val="outset" w:sz="6" w:space="0" w:color="auto"/>
              <w:left w:val="outset" w:sz="6" w:space="0" w:color="auto"/>
              <w:bottom w:val="outset" w:sz="6" w:space="0" w:color="auto"/>
              <w:right w:val="outset" w:sz="6" w:space="0" w:color="auto"/>
            </w:tcBorders>
          </w:tcPr>
          <w:p w:rsidR="00A67C5C" w:rsidRPr="00A67C5C" w:rsidRDefault="00A67C5C" w:rsidP="00A67C5C">
            <w:pPr>
              <w:jc w:val="center"/>
              <w:rPr>
                <w:color w:val="333333"/>
                <w:sz w:val="21"/>
                <w:szCs w:val="21"/>
              </w:rPr>
            </w:pPr>
            <w:r w:rsidRPr="00A67C5C">
              <w:rPr>
                <w:bCs/>
                <w:color w:val="333333"/>
                <w:sz w:val="21"/>
                <w:szCs w:val="21"/>
              </w:rPr>
              <w:t>Рыночная стоимость, рублей</w:t>
            </w:r>
          </w:p>
        </w:tc>
      </w:tr>
      <w:tr w:rsidR="00A67C5C" w:rsidRPr="00A67C5C" w:rsidTr="000920AA">
        <w:trPr>
          <w:trHeight w:val="1351"/>
        </w:trPr>
        <w:tc>
          <w:tcPr>
            <w:tcW w:w="426"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1</w:t>
            </w:r>
          </w:p>
        </w:tc>
        <w:tc>
          <w:tcPr>
            <w:tcW w:w="3260"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 xml:space="preserve">Оршанский район, </w:t>
            </w:r>
            <w:proofErr w:type="spellStart"/>
            <w:r w:rsidRPr="00A67C5C">
              <w:rPr>
                <w:color w:val="333333"/>
                <w:sz w:val="21"/>
                <w:szCs w:val="21"/>
              </w:rPr>
              <w:t>Заболотский</w:t>
            </w:r>
            <w:proofErr w:type="spellEnd"/>
            <w:r w:rsidRPr="00A67C5C">
              <w:rPr>
                <w:color w:val="333333"/>
                <w:sz w:val="21"/>
                <w:szCs w:val="21"/>
              </w:rPr>
              <w:t xml:space="preserve"> сельский исполнительный комитет, Оршанский район,                                         д. Нижняя </w:t>
            </w:r>
            <w:proofErr w:type="spellStart"/>
            <w:r w:rsidRPr="00A67C5C">
              <w:rPr>
                <w:color w:val="333333"/>
                <w:sz w:val="21"/>
                <w:szCs w:val="21"/>
              </w:rPr>
              <w:t>Веравойша</w:t>
            </w:r>
            <w:proofErr w:type="spellEnd"/>
            <w:r w:rsidRPr="00A67C5C">
              <w:rPr>
                <w:color w:val="333333"/>
                <w:sz w:val="21"/>
                <w:szCs w:val="21"/>
              </w:rPr>
              <w:t>,  инвентарный № 240/С-23700</w:t>
            </w:r>
          </w:p>
        </w:tc>
        <w:tc>
          <w:tcPr>
            <w:tcW w:w="2835"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Одноэтажный жилой дом. Материал стен – бревенчатые</w:t>
            </w:r>
          </w:p>
        </w:tc>
        <w:tc>
          <w:tcPr>
            <w:tcW w:w="1417"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240/С-23700</w:t>
            </w:r>
          </w:p>
        </w:tc>
        <w:tc>
          <w:tcPr>
            <w:tcW w:w="1985"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1 базовая величина</w:t>
            </w:r>
          </w:p>
        </w:tc>
      </w:tr>
      <w:tr w:rsidR="00A67C5C" w:rsidRPr="00A67C5C" w:rsidTr="000920AA">
        <w:trPr>
          <w:trHeight w:val="1351"/>
        </w:trPr>
        <w:tc>
          <w:tcPr>
            <w:tcW w:w="426"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p>
        </w:tc>
        <w:tc>
          <w:tcPr>
            <w:tcW w:w="3260"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 xml:space="preserve">Оршанский район, </w:t>
            </w:r>
            <w:proofErr w:type="spellStart"/>
            <w:r w:rsidRPr="00A67C5C">
              <w:rPr>
                <w:color w:val="333333"/>
                <w:sz w:val="21"/>
                <w:szCs w:val="21"/>
              </w:rPr>
              <w:t>Заболотский</w:t>
            </w:r>
            <w:proofErr w:type="spellEnd"/>
            <w:r w:rsidRPr="00A67C5C">
              <w:rPr>
                <w:color w:val="333333"/>
                <w:sz w:val="21"/>
                <w:szCs w:val="21"/>
              </w:rPr>
              <w:t xml:space="preserve"> сельский исполнительный комитет, Оршанский район, д. </w:t>
            </w:r>
            <w:proofErr w:type="spellStart"/>
            <w:r w:rsidRPr="00A67C5C">
              <w:rPr>
                <w:color w:val="333333"/>
                <w:sz w:val="21"/>
                <w:szCs w:val="21"/>
              </w:rPr>
              <w:t>Заслоновка</w:t>
            </w:r>
            <w:proofErr w:type="spellEnd"/>
            <w:r w:rsidRPr="00A67C5C">
              <w:rPr>
                <w:color w:val="333333"/>
                <w:sz w:val="21"/>
                <w:szCs w:val="21"/>
              </w:rPr>
              <w:t>,                  ул. Парковая, д. 6, кв. 1</w:t>
            </w:r>
          </w:p>
        </w:tc>
        <w:tc>
          <w:tcPr>
            <w:tcW w:w="2835"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Одноэтажный жилой дом. Материал стен – кирпич</w:t>
            </w:r>
          </w:p>
        </w:tc>
        <w:tc>
          <w:tcPr>
            <w:tcW w:w="1417"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w:t>
            </w:r>
          </w:p>
        </w:tc>
        <w:tc>
          <w:tcPr>
            <w:tcW w:w="1985"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1 базовая величина</w:t>
            </w:r>
          </w:p>
        </w:tc>
      </w:tr>
      <w:tr w:rsidR="00A67C5C" w:rsidRPr="00A67C5C" w:rsidTr="000920AA">
        <w:trPr>
          <w:trHeight w:val="1351"/>
        </w:trPr>
        <w:tc>
          <w:tcPr>
            <w:tcW w:w="426"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2</w:t>
            </w:r>
          </w:p>
        </w:tc>
        <w:tc>
          <w:tcPr>
            <w:tcW w:w="3260"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 xml:space="preserve">Оршанский район, </w:t>
            </w:r>
            <w:proofErr w:type="spellStart"/>
            <w:r w:rsidRPr="00A67C5C">
              <w:rPr>
                <w:color w:val="333333"/>
                <w:sz w:val="21"/>
                <w:szCs w:val="21"/>
              </w:rPr>
              <w:t>Зубревичский</w:t>
            </w:r>
            <w:proofErr w:type="spellEnd"/>
            <w:r w:rsidRPr="00A67C5C">
              <w:rPr>
                <w:color w:val="333333"/>
                <w:sz w:val="21"/>
                <w:szCs w:val="21"/>
              </w:rPr>
              <w:t xml:space="preserve"> сельский исполнительный комитет, Оршанский район, д. </w:t>
            </w:r>
            <w:proofErr w:type="spellStart"/>
            <w:r w:rsidRPr="00A67C5C">
              <w:rPr>
                <w:color w:val="333333"/>
                <w:sz w:val="21"/>
                <w:szCs w:val="21"/>
              </w:rPr>
              <w:t>Туминичи</w:t>
            </w:r>
            <w:proofErr w:type="spellEnd"/>
            <w:r w:rsidRPr="00A67C5C">
              <w:rPr>
                <w:color w:val="333333"/>
                <w:sz w:val="21"/>
                <w:szCs w:val="21"/>
              </w:rPr>
              <w:t>,                ул. Садовая, д. 8</w:t>
            </w:r>
          </w:p>
        </w:tc>
        <w:tc>
          <w:tcPr>
            <w:tcW w:w="2835"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Одноэтажный жилой дом. Материал стен – бревенчатые</w:t>
            </w:r>
          </w:p>
        </w:tc>
        <w:tc>
          <w:tcPr>
            <w:tcW w:w="1417"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w:t>
            </w:r>
          </w:p>
        </w:tc>
        <w:tc>
          <w:tcPr>
            <w:tcW w:w="1985"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1 базовая величина</w:t>
            </w:r>
          </w:p>
        </w:tc>
      </w:tr>
      <w:tr w:rsidR="00A67C5C" w:rsidRPr="00A67C5C" w:rsidTr="000920AA">
        <w:trPr>
          <w:trHeight w:val="1351"/>
        </w:trPr>
        <w:tc>
          <w:tcPr>
            <w:tcW w:w="426"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p>
        </w:tc>
        <w:tc>
          <w:tcPr>
            <w:tcW w:w="3260"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 xml:space="preserve">Оршанский район, </w:t>
            </w:r>
            <w:proofErr w:type="spellStart"/>
            <w:r w:rsidRPr="00A67C5C">
              <w:rPr>
                <w:color w:val="333333"/>
                <w:sz w:val="21"/>
                <w:szCs w:val="21"/>
              </w:rPr>
              <w:t>Задровьевский</w:t>
            </w:r>
            <w:proofErr w:type="spellEnd"/>
            <w:r w:rsidRPr="00A67C5C">
              <w:rPr>
                <w:color w:val="333333"/>
                <w:sz w:val="21"/>
                <w:szCs w:val="21"/>
              </w:rPr>
              <w:t xml:space="preserve"> сельский исполнительный комитет, Оршанский район, д. Железняки,                д. 12</w:t>
            </w:r>
          </w:p>
        </w:tc>
        <w:tc>
          <w:tcPr>
            <w:tcW w:w="2835"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Одноэтажный жилой дом. Материал стен – кирпич</w:t>
            </w:r>
          </w:p>
        </w:tc>
        <w:tc>
          <w:tcPr>
            <w:tcW w:w="1417"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w:t>
            </w:r>
          </w:p>
        </w:tc>
        <w:tc>
          <w:tcPr>
            <w:tcW w:w="1985" w:type="dxa"/>
            <w:tcBorders>
              <w:top w:val="outset" w:sz="6" w:space="0" w:color="auto"/>
              <w:left w:val="outset" w:sz="6" w:space="0" w:color="auto"/>
              <w:bottom w:val="outset" w:sz="6" w:space="0" w:color="auto"/>
              <w:right w:val="outset" w:sz="6" w:space="0" w:color="auto"/>
            </w:tcBorders>
            <w:vAlign w:val="center"/>
          </w:tcPr>
          <w:p w:rsidR="00A67C5C" w:rsidRPr="00A67C5C" w:rsidRDefault="00A67C5C" w:rsidP="00A67C5C">
            <w:pPr>
              <w:jc w:val="center"/>
              <w:rPr>
                <w:color w:val="333333"/>
                <w:sz w:val="21"/>
                <w:szCs w:val="21"/>
              </w:rPr>
            </w:pPr>
            <w:r w:rsidRPr="00A67C5C">
              <w:rPr>
                <w:color w:val="333333"/>
                <w:sz w:val="21"/>
                <w:szCs w:val="21"/>
              </w:rPr>
              <w:t>1 базовая величина</w:t>
            </w:r>
          </w:p>
        </w:tc>
      </w:tr>
    </w:tbl>
    <w:p w:rsidR="00A67C5C" w:rsidRPr="00A67C5C" w:rsidRDefault="00A67C5C" w:rsidP="00A67C5C">
      <w:pPr>
        <w:ind w:firstLine="708"/>
        <w:jc w:val="both"/>
        <w:rPr>
          <w:sz w:val="30"/>
          <w:szCs w:val="30"/>
        </w:rPr>
      </w:pPr>
      <w:r w:rsidRPr="00A67C5C">
        <w:rPr>
          <w:sz w:val="30"/>
          <w:szCs w:val="30"/>
        </w:rPr>
        <w:t xml:space="preserve">Заявки принимаются в течение 30 календарных дней со дня опубликования </w:t>
      </w:r>
      <w:r w:rsidRPr="00A67C5C">
        <w:rPr>
          <w:spacing w:val="-16"/>
          <w:sz w:val="30"/>
          <w:szCs w:val="30"/>
        </w:rPr>
        <w:t xml:space="preserve">указанной информации по адресу: г. Орша, ул. Александра Островского, д. 2, </w:t>
      </w:r>
      <w:proofErr w:type="spellStart"/>
      <w:r w:rsidRPr="00A67C5C">
        <w:rPr>
          <w:spacing w:val="-16"/>
          <w:sz w:val="30"/>
          <w:szCs w:val="30"/>
        </w:rPr>
        <w:t>каб</w:t>
      </w:r>
      <w:proofErr w:type="spellEnd"/>
      <w:r w:rsidRPr="00A67C5C">
        <w:rPr>
          <w:spacing w:val="-16"/>
          <w:sz w:val="30"/>
          <w:szCs w:val="30"/>
        </w:rPr>
        <w:t>. 105, отдел</w:t>
      </w:r>
      <w:r w:rsidRPr="00A67C5C">
        <w:rPr>
          <w:sz w:val="30"/>
          <w:szCs w:val="30"/>
        </w:rPr>
        <w:t xml:space="preserve"> архитектуры и строительства Оршанского райисполкома, (телефон для справок 51 08 93). </w:t>
      </w:r>
    </w:p>
    <w:p w:rsidR="00A67C5C" w:rsidRPr="00A67C5C" w:rsidRDefault="00A67C5C" w:rsidP="00A67C5C">
      <w:pPr>
        <w:ind w:firstLine="708"/>
        <w:jc w:val="both"/>
        <w:rPr>
          <w:sz w:val="30"/>
          <w:szCs w:val="30"/>
        </w:rPr>
      </w:pPr>
      <w:r w:rsidRPr="00A67C5C">
        <w:rPr>
          <w:sz w:val="30"/>
          <w:szCs w:val="30"/>
        </w:rPr>
        <w:t>Претендент на покупку пустующего дома до истечения 30 календарных дней со дня опубликования сведений о его прямой продаже представляет лично, либо через своего представителя в местный исполнительный комитет следующие документы:</w:t>
      </w:r>
    </w:p>
    <w:p w:rsidR="00A67C5C" w:rsidRPr="00A67C5C" w:rsidRDefault="00A67C5C" w:rsidP="00A67C5C">
      <w:pPr>
        <w:ind w:firstLine="708"/>
        <w:jc w:val="both"/>
        <w:rPr>
          <w:sz w:val="30"/>
          <w:szCs w:val="30"/>
        </w:rPr>
      </w:pPr>
      <w:r w:rsidRPr="00A67C5C">
        <w:rPr>
          <w:sz w:val="30"/>
          <w:szCs w:val="30"/>
        </w:rPr>
        <w:t>заявку на покупку пустующего жилого дома по форме, утвержденной Государственным комитетом по имуществу;</w:t>
      </w:r>
    </w:p>
    <w:p w:rsidR="00A67C5C" w:rsidRPr="00A67C5C" w:rsidRDefault="00A67C5C" w:rsidP="00A67C5C">
      <w:pPr>
        <w:ind w:firstLine="708"/>
        <w:jc w:val="both"/>
        <w:rPr>
          <w:sz w:val="30"/>
          <w:szCs w:val="30"/>
        </w:rPr>
      </w:pPr>
      <w:r w:rsidRPr="00A67C5C">
        <w:rPr>
          <w:sz w:val="30"/>
          <w:szCs w:val="30"/>
        </w:rPr>
        <w:lastRenderedPageBreak/>
        <w:t>гражданином – копия документа, удостоверяющего личность, без нотариального засвидетельствования;</w:t>
      </w:r>
    </w:p>
    <w:p w:rsidR="00A67C5C" w:rsidRPr="00A67C5C" w:rsidRDefault="00A67C5C" w:rsidP="00A67C5C">
      <w:pPr>
        <w:ind w:firstLine="708"/>
        <w:jc w:val="both"/>
        <w:rPr>
          <w:sz w:val="30"/>
          <w:szCs w:val="30"/>
        </w:rPr>
      </w:pPr>
      <w:r w:rsidRPr="00A67C5C">
        <w:rPr>
          <w:sz w:val="30"/>
          <w:szCs w:val="30"/>
        </w:rPr>
        <w:t>представителем гражданина – доверенность;</w:t>
      </w:r>
    </w:p>
    <w:p w:rsidR="00A67C5C" w:rsidRPr="00A67C5C" w:rsidRDefault="00A67C5C" w:rsidP="00A67C5C">
      <w:pPr>
        <w:ind w:firstLine="708"/>
        <w:jc w:val="both"/>
        <w:rPr>
          <w:sz w:val="30"/>
          <w:szCs w:val="30"/>
        </w:rPr>
      </w:pPr>
      <w:r w:rsidRPr="00A67C5C">
        <w:rPr>
          <w:sz w:val="30"/>
          <w:szCs w:val="30"/>
        </w:rPr>
        <w:t>индивидуальным предпринимателем – копия свидетельства о государственной регистрации без нотариального засвидетельствования;</w:t>
      </w:r>
    </w:p>
    <w:p w:rsidR="00A67C5C" w:rsidRPr="00A67C5C" w:rsidRDefault="00A67C5C" w:rsidP="00A67C5C">
      <w:pPr>
        <w:ind w:firstLine="708"/>
        <w:jc w:val="both"/>
        <w:rPr>
          <w:sz w:val="30"/>
          <w:szCs w:val="30"/>
        </w:rPr>
      </w:pPr>
      <w:r w:rsidRPr="00A67C5C">
        <w:rPr>
          <w:sz w:val="30"/>
          <w:szCs w:val="30"/>
        </w:rPr>
        <w:t>представителем или уполномоченным должностным лицом юридического лица Республики Беларусь – доверенность, выданная юридическим лицом, или документ, подтверждающий полномочия должностного лица, копии документов, подтверждающих государственную регистрацию юридического лица, без нотариального засвидетельствования, документ с указанием банковских реквизитов юридического лица;</w:t>
      </w:r>
    </w:p>
    <w:p w:rsidR="00A67C5C" w:rsidRPr="00A67C5C" w:rsidRDefault="00A67C5C" w:rsidP="00A67C5C">
      <w:pPr>
        <w:ind w:firstLine="708"/>
        <w:jc w:val="both"/>
        <w:rPr>
          <w:sz w:val="30"/>
          <w:szCs w:val="30"/>
        </w:rPr>
      </w:pPr>
      <w:r w:rsidRPr="00A67C5C">
        <w:rPr>
          <w:sz w:val="30"/>
          <w:szCs w:val="30"/>
        </w:rPr>
        <w:t>представителем или уполномоченным должностным лицом иностранного юридического лица – копии учредительных документов и выписка из торгового реестра страны происхождения (выписка должна быть произведена в течение года до подачи заявки)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 (верность перевода или подлинность подписи переводчика должны быть засвидетельствованы нотариусом или лицом, уполномоченным совершать нотариальные действия), доверенность или документ, подтверждающий полномочия должностного лица, документ о финансовой состоятельности, выданный обслуживающим банком или иной кредитно-финансовой организацией, с переводом на белорусский или русский язык (верность перевода или подлинность подписи переводчика должны быть засвидетельствованы нотариусом или лицом, уполномоченным совершать нотариальные действия).</w:t>
      </w:r>
    </w:p>
    <w:p w:rsidR="00A67C5C" w:rsidRPr="00A67C5C" w:rsidRDefault="00A67C5C" w:rsidP="00A67C5C">
      <w:pPr>
        <w:ind w:firstLine="708"/>
        <w:jc w:val="both"/>
        <w:rPr>
          <w:sz w:val="30"/>
          <w:szCs w:val="30"/>
        </w:rPr>
      </w:pPr>
      <w:r w:rsidRPr="00A67C5C">
        <w:rPr>
          <w:sz w:val="30"/>
          <w:szCs w:val="30"/>
        </w:rPr>
        <w:t>Документы, составленные за пределами Республики Беларусь в соответствии с законодательством иностранного государства, должны быть легализованы, если иное не предусмотрено законодательством.</w:t>
      </w:r>
    </w:p>
    <w:p w:rsidR="00A67C5C" w:rsidRPr="00A67C5C" w:rsidRDefault="00A67C5C" w:rsidP="00A67C5C">
      <w:pPr>
        <w:ind w:firstLine="708"/>
        <w:jc w:val="both"/>
        <w:rPr>
          <w:sz w:val="30"/>
          <w:szCs w:val="30"/>
        </w:rPr>
      </w:pPr>
      <w:r w:rsidRPr="00A67C5C">
        <w:rPr>
          <w:sz w:val="30"/>
          <w:szCs w:val="30"/>
        </w:rPr>
        <w:t>В случае поступления двух заявок от претендентов на покупку пустующего дома его продажа осуществляется по результатам аукциона.</w:t>
      </w:r>
    </w:p>
    <w:p w:rsidR="008F57B1" w:rsidRDefault="008F57B1">
      <w:bookmarkStart w:id="0" w:name="_GoBack"/>
      <w:bookmarkEnd w:id="0"/>
    </w:p>
    <w:sectPr w:rsidR="008F57B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DD"/>
    <w:rsid w:val="008F57B1"/>
    <w:rsid w:val="00A67C5C"/>
    <w:rsid w:val="00B1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7109"/>
  <w15:chartTrackingRefBased/>
  <w15:docId w15:val="{61EFE6EA-F376-42F1-BC65-EADE0944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C5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2025-10-22T05:08:00Z</dcterms:created>
  <dcterms:modified xsi:type="dcterms:W3CDTF">2025-10-22T05:10:00Z</dcterms:modified>
</cp:coreProperties>
</file>