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Для проверки соответствия работника поручаемой ему работе при приеме на работу трудовой договор по соглашению сторон может быть заключен с условием предварительного испытания, за исключением случаев, предусмотренных </w:t>
      </w:r>
      <w:hyperlink r:id="rId4" w:anchor="a7662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ч.5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ст.28 ТК (</w:t>
      </w:r>
      <w:hyperlink r:id="rId5" w:anchor="a9548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ч.1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ст.28 ТК).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Таким образом, независимо от наличия в организации ЛПА по данному вопросу, наниматель может установить работнику предварительное испытание с учетом норм </w:t>
      </w:r>
      <w:hyperlink r:id="rId6" w:anchor="a2364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ст.28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ТК.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1. Предварительное испытание при приеме на работу относится к дополнительным (необязательным) условиям трудового договора (контракта).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Целью предварительного испытания является определить, соответствуют ли профессиональные навыки, способности работника, его деловые качества занимаемой должности или выполняемой работе.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При предварительном испытании оцениваются именно профессиональные, а не личностные качества работника.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2. Предварительное испытание устанавливается только по соглашению сторон.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В период предварительного испытания на работника распространяется действие </w:t>
      </w:r>
      <w:hyperlink r:id="rId7" w:anchor="a6676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ТК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с особенностями, предусмотренными ст.</w:t>
      </w:r>
      <w:hyperlink r:id="rId8" w:anchor="a2364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28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и 29 ТК, а также иными актами законодательства о труде. 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Обязанности работников закрепляются нанимателем в должностной (рабочей) инструкции, с которой необходимо ознакомить работников под подпись при приеме на работу (</w:t>
      </w:r>
      <w:hyperlink r:id="rId9" w:anchor="a6744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п.2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ч.1 ст.54 ТК).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3. Срок предварительного испытания не должен превышать 3 месяцев, не считая периода временной нетрудоспособности и других периодов, когда работник отсутствовал на работе (</w:t>
      </w:r>
      <w:hyperlink r:id="rId10" w:anchor="a7666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b/>
            <w:i w:val="0"/>
            <w:sz w:val="24"/>
            <w:szCs w:val="24"/>
          </w:rPr>
          <w:t>ч.3</w:t>
        </w:r>
      </w:hyperlink>
      <w:r w:rsidRPr="007327D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 ст.28 ТК).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К таким периодам относятся также: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• предоставляемые работнику социальные отпуска (</w:t>
      </w:r>
      <w:hyperlink r:id="rId11" w:anchor="a608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гл.12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ТК);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• время выполнения государственных или общественных обязанностей (</w:t>
      </w:r>
      <w:hyperlink r:id="rId12" w:anchor="a27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ст.101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ТК);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• отсутствие на работе ввиду выполнения донорской функции (</w:t>
      </w:r>
      <w:hyperlink r:id="rId13" w:anchor="a8878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ст.104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ТК) и др.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При заключении трудового договора наниматель может предложить и меньший срок предварительного испытания (по своему усмотрению).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Нельзя продлевать установленный трудовым договором срок предварительного испытания, в том числе и по соглашению сторон.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4. Возможность установления предварительного испытания предусмотрена также другими НПА.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Так, при поступлении на гражданскую службу по соглашению сторон может устанавливаться предварительное испытание на срок до 3 месяцев (</w:t>
      </w:r>
      <w:hyperlink r:id="rId14" w:anchor="a191" w:tooltip="Закон  от 01.06.2022 № 175-З О государственной службе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п.1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ст.34 Закона от 01.06.2022 № 175-З «О государственной службе»).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5. Условие о предварительном испытании должно быть предусмотрено в трудовом договоре. Отсутствие в трудовом договоре условия </w:t>
      </w:r>
      <w:r w:rsidRPr="007327D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lastRenderedPageBreak/>
        <w:t>о предварительном испытании означает, что работник принят без предварительного испытания (</w:t>
      </w:r>
      <w:hyperlink r:id="rId15" w:anchor="a7668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b/>
            <w:i w:val="0"/>
            <w:sz w:val="24"/>
            <w:szCs w:val="24"/>
          </w:rPr>
          <w:t>ч.4</w:t>
        </w:r>
      </w:hyperlink>
      <w:r w:rsidRPr="007327D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 ст.28 ТК).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При заключении трудового договора на неопределенный срок, срочного трудового договора стороны с целью проверки соответствия работника поручаемой ему работе могут предусмотреть условие о предварительном испытании (кроме случаев, предусмотренных </w:t>
      </w:r>
      <w:hyperlink r:id="rId16" w:anchor="a7662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ч.5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ст.28 ТК). Срок предварительного испытания не должен превышать 3 месяцев, не считая периодов временной нетрудоспособности и других периодов, когда работник отсутствовал на работе. В этом случае условие о предварительном испытании должно быть предусмотрено в трудовом договоре.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Если указание об этом содержится только в приказе о приеме на работу, то расторжение трудового договора по </w:t>
      </w:r>
      <w:hyperlink r:id="rId17" w:anchor="a3113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п.7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ч.2 ст.35 ТК не допускается, так как условие о предварительном испытании сторонами согласовано не было (</w:t>
      </w:r>
      <w:hyperlink r:id="rId18" w:anchor="a6" w:tooltip="Постановление Пленума Верховного Суда Республики Беларусь от 21.12.2023 № 9 О применении судами законодательства при рассмотрении гражданских дел о прекращении трудовых договоров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ч.1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п.6 постановления Пленума Верховного Суда от 21.12.2023 № 9 «О применении судами законодательства при рассмотрении гражданских дел о прекращении трудовых договоров»).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Такой работник не может быть уволен по </w:t>
      </w:r>
      <w:hyperlink r:id="rId19" w:anchor="a2696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ст.29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ТК как не выдержавший испытания.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Условие об установлении работнику предварительного испытания указывается и в приказе о приеме на работу. 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Предварительное испытание устанавливается только при приеме на работу. Установление предварительного испытания не допускается в процессе работы, при переводе работника.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6. Предварительное испытание при заключении трудового договора </w:t>
      </w:r>
      <w:proofErr w:type="gramStart"/>
      <w:r w:rsidRPr="007327D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не устанавливается</w:t>
      </w:r>
      <w:proofErr w:type="gramEnd"/>
      <w:r w:rsidRPr="007327D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для: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1) работников, не достигших 18 лет;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2) молодых рабочих (служащих), получивших профессионально-техническое образование;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3) молодых специалистов, получивших среднее специальное, высшее или научно-ориентированное образование;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4) инвалидов;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5) временных и сезонных работников;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6) при переводе на работу в другую местность либо к другому нанимателю;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7) при приеме на работу по конкурсу, по результатам выборов;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8) в других случаях, предусмотренных законодательством (</w:t>
      </w:r>
      <w:hyperlink r:id="rId20" w:anchor="a7662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i w:val="0"/>
            <w:sz w:val="24"/>
            <w:szCs w:val="24"/>
          </w:rPr>
          <w:t>ч.5</w:t>
        </w:r>
      </w:hyperlink>
      <w:r w:rsidRPr="007327DF">
        <w:rPr>
          <w:rStyle w:val="a6"/>
          <w:rFonts w:ascii="Times New Roman" w:hAnsi="Times New Roman" w:cs="Times New Roman"/>
          <w:i w:val="0"/>
          <w:sz w:val="24"/>
          <w:szCs w:val="24"/>
        </w:rPr>
        <w:t> ст.28 ТК). </w:t>
      </w:r>
    </w:p>
    <w:p w:rsidR="007327DF" w:rsidRPr="007327DF" w:rsidRDefault="007327DF" w:rsidP="007327DF">
      <w:pPr>
        <w:ind w:firstLine="567"/>
        <w:jc w:val="both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r w:rsidRPr="007327D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7. Выплата заработной платы в период предварительного испытания в меньшем размере является нарушением требований законодательства о труде, так как в период предварительного испытания на работника распространяется действие </w:t>
      </w:r>
      <w:hyperlink r:id="rId21" w:anchor="a6676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b/>
            <w:i w:val="0"/>
            <w:sz w:val="24"/>
            <w:szCs w:val="24"/>
          </w:rPr>
          <w:t>ТК</w:t>
        </w:r>
      </w:hyperlink>
      <w:r w:rsidRPr="007327D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 (</w:t>
      </w:r>
      <w:hyperlink r:id="rId22" w:anchor="a7669" w:tooltip="Трудовой кодекс Республики Беларусь от 26.07.1999 № 296-З" w:history="1">
        <w:r w:rsidRPr="007327DF">
          <w:rPr>
            <w:rStyle w:val="a6"/>
            <w:rFonts w:ascii="Times New Roman" w:hAnsi="Times New Roman" w:cs="Times New Roman"/>
            <w:b/>
            <w:i w:val="0"/>
            <w:sz w:val="24"/>
            <w:szCs w:val="24"/>
          </w:rPr>
          <w:t>ч.2</w:t>
        </w:r>
      </w:hyperlink>
      <w:r w:rsidRPr="007327D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 ст.28 ТК).</w:t>
      </w:r>
    </w:p>
    <w:bookmarkEnd w:id="0"/>
    <w:p w:rsidR="0053749F" w:rsidRDefault="0053749F"/>
    <w:sectPr w:rsidR="0053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C6"/>
    <w:rsid w:val="002717C6"/>
    <w:rsid w:val="0053749F"/>
    <w:rsid w:val="007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AF152-8F4C-4851-8DD6-448F61DE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73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327DF"/>
    <w:rPr>
      <w:color w:val="0000FF"/>
      <w:u w:val="single"/>
    </w:rPr>
  </w:style>
  <w:style w:type="paragraph" w:customStyle="1" w:styleId="primsit">
    <w:name w:val="prim_sit"/>
    <w:basedOn w:val="a"/>
    <w:rsid w:val="0073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73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t">
    <w:name w:val="marg_t"/>
    <w:basedOn w:val="a"/>
    <w:rsid w:val="0073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7327DF"/>
  </w:style>
  <w:style w:type="paragraph" w:customStyle="1" w:styleId="listtext1">
    <w:name w:val="list_text_1"/>
    <w:basedOn w:val="a"/>
    <w:rsid w:val="0073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327DF"/>
    <w:pPr>
      <w:spacing w:after="0" w:line="240" w:lineRule="auto"/>
    </w:pPr>
  </w:style>
  <w:style w:type="character" w:styleId="a5">
    <w:name w:val="Intense Emphasis"/>
    <w:basedOn w:val="a0"/>
    <w:uiPriority w:val="21"/>
    <w:qFormat/>
    <w:rsid w:val="007327DF"/>
    <w:rPr>
      <w:i/>
      <w:iCs/>
      <w:color w:val="5B9BD5" w:themeColor="accent1"/>
    </w:rPr>
  </w:style>
  <w:style w:type="character" w:styleId="a6">
    <w:name w:val="Emphasis"/>
    <w:basedOn w:val="a0"/>
    <w:uiPriority w:val="20"/>
    <w:qFormat/>
    <w:rsid w:val="00732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trudovoj-kodeks-respubliki-belarus-26-07-1999-33380?a=a2364" TargetMode="External"/><Relationship Id="rId13" Type="http://schemas.openxmlformats.org/officeDocument/2006/relationships/hyperlink" Target="https://bii.by/docs/trudovoj-kodeks-respubliki-belarus-26-07-1999-33380?a=a8878" TargetMode="External"/><Relationship Id="rId18" Type="http://schemas.openxmlformats.org/officeDocument/2006/relationships/hyperlink" Target="https://bii.by/docs/postanovlenie-21-12-2023-9-o-primenenii-sudami-zakonodatelstva-pri-rassmotrenii-grazhdanskikh-657552?a=a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i.by/docs/trudovoj-kodeks-respubliki-belarus-26-07-1999-33380?a=a6676" TargetMode="External"/><Relationship Id="rId7" Type="http://schemas.openxmlformats.org/officeDocument/2006/relationships/hyperlink" Target="https://bii.by/docs/trudovoj-kodeks-respubliki-belarus-26-07-1999-33380?a=a6676" TargetMode="External"/><Relationship Id="rId12" Type="http://schemas.openxmlformats.org/officeDocument/2006/relationships/hyperlink" Target="https://bii.by/docs/trudovoj-kodeks-respubliki-belarus-26-07-1999-33380?a=a27" TargetMode="External"/><Relationship Id="rId17" Type="http://schemas.openxmlformats.org/officeDocument/2006/relationships/hyperlink" Target="https://bii.by/docs/trudovoj-kodeks-respubliki-belarus-26-07-1999-33380?a=a31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i.by/docs/trudovoj-kodeks-respubliki-belarus-26-07-1999-33380?a=a7662" TargetMode="External"/><Relationship Id="rId20" Type="http://schemas.openxmlformats.org/officeDocument/2006/relationships/hyperlink" Target="https://bii.by/docs/trudovoj-kodeks-respubliki-belarus-26-07-1999-33380?a=a7662" TargetMode="External"/><Relationship Id="rId1" Type="http://schemas.openxmlformats.org/officeDocument/2006/relationships/styles" Target="styles.xml"/><Relationship Id="rId6" Type="http://schemas.openxmlformats.org/officeDocument/2006/relationships/hyperlink" Target="https://bii.by/docs/trudovoj-kodeks-respubliki-belarus-26-07-1999-33380?a=a2364" TargetMode="External"/><Relationship Id="rId11" Type="http://schemas.openxmlformats.org/officeDocument/2006/relationships/hyperlink" Target="https://bii.by/docs/trudovoj-kodeks-respubliki-belarus-26-07-1999-33380?a=a60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bii.by/docs/trudovoj-kodeks-respubliki-belarus-26-07-1999-33380?a=a9548" TargetMode="External"/><Relationship Id="rId15" Type="http://schemas.openxmlformats.org/officeDocument/2006/relationships/hyperlink" Target="https://bii.by/docs/trudovoj-kodeks-respubliki-belarus-26-07-1999-33380?a=a766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i.by/docs/trudovoj-kodeks-respubliki-belarus-26-07-1999-33380?a=a7666" TargetMode="External"/><Relationship Id="rId19" Type="http://schemas.openxmlformats.org/officeDocument/2006/relationships/hyperlink" Target="https://bii.by/docs/trudovoj-kodeks-respubliki-belarus-26-07-1999-33380?a=a2696" TargetMode="External"/><Relationship Id="rId4" Type="http://schemas.openxmlformats.org/officeDocument/2006/relationships/hyperlink" Target="https://bii.by/docs/trudovoj-kodeks-respubliki-belarus-26-07-1999-33380?a=a7662" TargetMode="External"/><Relationship Id="rId9" Type="http://schemas.openxmlformats.org/officeDocument/2006/relationships/hyperlink" Target="https://bii.by/docs/trudovoj-kodeks-respubliki-belarus-26-07-1999-33380?a=a6744" TargetMode="External"/><Relationship Id="rId14" Type="http://schemas.openxmlformats.org/officeDocument/2006/relationships/hyperlink" Target="https://bii.by/docs/zakon-01-06-2022-175-z-o-gosudarstvennoj-sluzhbe-595313?a=a191" TargetMode="External"/><Relationship Id="rId22" Type="http://schemas.openxmlformats.org/officeDocument/2006/relationships/hyperlink" Target="https://bii.by/docs/trudovoj-kodeks-respubliki-belarus-26-07-1999-33380?a=a7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1181</Words>
  <Characters>6737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</dc:creator>
  <cp:keywords/>
  <dc:description/>
  <cp:lastModifiedBy>Егорова</cp:lastModifiedBy>
  <cp:revision>2</cp:revision>
  <dcterms:created xsi:type="dcterms:W3CDTF">2025-09-18T09:46:00Z</dcterms:created>
  <dcterms:modified xsi:type="dcterms:W3CDTF">2025-09-18T09:48:00Z</dcterms:modified>
</cp:coreProperties>
</file>