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4D" w:rsidRPr="0068694D" w:rsidRDefault="0068694D" w:rsidP="0068694D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Трудовой договор, заключенный на неопределенный срок, равно как и контракт, до истечения срока его действия может быть расторгнут по инициативе нанимателя в случае сокращения численности или штата работников (</w:t>
      </w:r>
      <w:hyperlink r:id="rId4" w:anchor="a10059" w:tooltip="+" w:history="1">
        <w:r w:rsidRPr="0068694D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п.1</w:t>
        </w:r>
      </w:hyperlink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ст.42 ТК).</w:t>
      </w:r>
    </w:p>
    <w:p w:rsidR="0068694D" w:rsidRPr="0068694D" w:rsidRDefault="0068694D" w:rsidP="0068694D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Законодательством нет установленных понятий сокращения численности или штата. Буквальное значение слов:</w:t>
      </w:r>
    </w:p>
    <w:p w:rsidR="0068694D" w:rsidRPr="0068694D" w:rsidRDefault="0068694D" w:rsidP="0068694D">
      <w:pPr>
        <w:spacing w:after="0" w:line="240" w:lineRule="auto"/>
        <w:ind w:left="1155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• сокращение штата - исключение из штатного расписания в установленном порядке одной или нескольких штатных единиц по соответствующим должностям;</w:t>
      </w:r>
    </w:p>
    <w:p w:rsidR="0068694D" w:rsidRPr="0068694D" w:rsidRDefault="0068694D" w:rsidP="0068694D">
      <w:pPr>
        <w:spacing w:after="0" w:line="240" w:lineRule="auto"/>
        <w:ind w:left="1155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• при сокращении численности уменьшается количество работников.</w:t>
      </w:r>
    </w:p>
    <w:p w:rsidR="0068694D" w:rsidRPr="0068694D" w:rsidRDefault="0068694D" w:rsidP="0068694D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Решение о сокращении численности или штата работников должно быть действительным и обоснованным, поскольку, разрешая иски о восстановлении на работе лиц, трудовой договор с которыми расторгнут в связи с сокращением численности или штата работников, суды обязаны проверять, действительно ли уменьшилось фактическое количество работников в подразделении, где работал истец; исключена ли из штатного расписания его должность служащего (профессия рабочего), подлежащая сокращению; соблюдены ли нанимателем порядок и условия, предъявляемые к процедуре сокращения (ст.</w:t>
      </w:r>
      <w:hyperlink r:id="rId5" w:anchor="a9329" w:tooltip="+" w:history="1">
        <w:r w:rsidRPr="0068694D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43</w:t>
        </w:r>
      </w:hyperlink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, </w:t>
      </w:r>
      <w:hyperlink r:id="rId6" w:anchor="a9330" w:tooltip="+" w:history="1">
        <w:r w:rsidRPr="0068694D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48</w:t>
        </w:r>
      </w:hyperlink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ТК); учтено ли преимущественное право работника на оставление его на работе (</w:t>
      </w:r>
      <w:hyperlink r:id="rId7" w:anchor="a4132" w:tooltip="+" w:history="1">
        <w:r w:rsidRPr="0068694D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ст.45</w:t>
        </w:r>
      </w:hyperlink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ТК), соблюдены ли иные гарантии, предусмотренные законодательством о труде и ЛПА (в частности, принятие мер к трудоустройству работника с учетом его квалификации, возможность его переподготовки) (</w:t>
      </w:r>
      <w:hyperlink r:id="rId8" w:anchor="a21" w:tooltip="+" w:history="1">
        <w:r w:rsidRPr="0068694D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ч.1</w:t>
        </w:r>
      </w:hyperlink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п.17 постановления № 9).</w:t>
      </w:r>
    </w:p>
    <w:p w:rsidR="0068694D" w:rsidRPr="0068694D" w:rsidRDefault="0068694D" w:rsidP="0068694D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</w:t>
      </w:r>
    </w:p>
    <w:tbl>
      <w:tblPr>
        <w:tblW w:w="1326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2665"/>
      </w:tblGrid>
      <w:tr w:rsidR="0068694D" w:rsidRPr="0068694D" w:rsidTr="0068694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68694D" w:rsidRPr="0068694D" w:rsidRDefault="0068694D" w:rsidP="0068694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68694D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68694D" w:rsidRPr="0068694D" w:rsidRDefault="0068694D" w:rsidP="0068694D">
            <w:pPr>
              <w:spacing w:before="16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68694D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Обратите внимание!</w:t>
            </w:r>
          </w:p>
          <w:p w:rsidR="0068694D" w:rsidRPr="0068694D" w:rsidRDefault="0068694D" w:rsidP="0068694D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68694D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При увольнении по данному основанию трудовые договоры расторгаются только с отдельными работниками.</w:t>
            </w:r>
          </w:p>
        </w:tc>
      </w:tr>
    </w:tbl>
    <w:p w:rsidR="0068694D" w:rsidRPr="0068694D" w:rsidRDefault="0068694D" w:rsidP="0068694D">
      <w:pPr>
        <w:spacing w:before="160" w:line="240" w:lineRule="auto"/>
        <w:ind w:firstLine="567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</w:t>
      </w:r>
    </w:p>
    <w:p w:rsidR="0068694D" w:rsidRPr="0068694D" w:rsidRDefault="0068694D" w:rsidP="0068694D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</w:pPr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Не допускается расторжение трудового договора по сокращению численности или штата с беременными женщинами, женщинами, имеющими детей в возрасте до 3 лет, одинокими родителями, имеющими детей в возрасте до 14 лет (детей-инвалидов в возрасте до 18 лет) (</w:t>
      </w:r>
      <w:hyperlink r:id="rId10" w:anchor="a9507" w:tooltip="+" w:history="1">
        <w:r w:rsidRPr="0068694D">
          <w:rPr>
            <w:rStyle w:val="a4"/>
            <w:rFonts w:ascii="Times New Roman" w:hAnsi="Times New Roman" w:cs="Times New Roman"/>
            <w:i w:val="0"/>
            <w:color w:val="000000" w:themeColor="text1"/>
            <w:sz w:val="24"/>
            <w:szCs w:val="24"/>
            <w:lang w:eastAsia="ru-RU"/>
          </w:rPr>
          <w:t>ч.3</w:t>
        </w:r>
      </w:hyperlink>
      <w:r w:rsidRPr="0068694D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 ст.268 ТК).</w:t>
      </w:r>
    </w:p>
    <w:p w:rsidR="0068694D" w:rsidRPr="0068694D" w:rsidRDefault="0068694D" w:rsidP="0068694D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9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8694D" w:rsidRPr="0068694D" w:rsidRDefault="0068694D" w:rsidP="0068694D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</w:rPr>
      </w:pPr>
      <w:r w:rsidRPr="0068694D">
        <w:rPr>
          <w:rStyle w:val="a5"/>
          <w:i w:val="0"/>
        </w:rPr>
        <w:t>При составлении списков работников, подлежащих сокращению, не следует забывать о том, что преимущественным правом на оставление на работе обладают лица с более высокой производительностью труда и квалификацией (</w:t>
      </w:r>
      <w:hyperlink r:id="rId11" w:anchor="a7975" w:tooltip="+" w:history="1">
        <w:r w:rsidRPr="0068694D">
          <w:rPr>
            <w:rStyle w:val="a5"/>
            <w:i w:val="0"/>
          </w:rPr>
          <w:t>ч.1</w:t>
        </w:r>
      </w:hyperlink>
      <w:r w:rsidRPr="0068694D">
        <w:rPr>
          <w:rStyle w:val="a5"/>
          <w:i w:val="0"/>
        </w:rPr>
        <w:t> ст.45 ТК).</w:t>
      </w:r>
    </w:p>
    <w:p w:rsidR="0068694D" w:rsidRPr="0068694D" w:rsidRDefault="0068694D" w:rsidP="0068694D">
      <w:pPr>
        <w:pStyle w:val="justify"/>
        <w:spacing w:before="0" w:beforeAutospacing="0" w:after="0" w:afterAutospacing="0"/>
        <w:ind w:firstLine="567"/>
        <w:jc w:val="both"/>
        <w:rPr>
          <w:rStyle w:val="a5"/>
          <w:i w:val="0"/>
        </w:rPr>
      </w:pPr>
      <w:r w:rsidRPr="0068694D">
        <w:rPr>
          <w:rStyle w:val="a5"/>
          <w:i w:val="0"/>
        </w:rPr>
        <w:t>Если производительность и квалификация равны, то преимущественное право на оставление на работе имеют (ч.</w:t>
      </w:r>
      <w:hyperlink r:id="rId12" w:anchor="a7977" w:tooltip="+" w:history="1">
        <w:r w:rsidRPr="0068694D">
          <w:rPr>
            <w:rStyle w:val="a5"/>
            <w:i w:val="0"/>
          </w:rPr>
          <w:t>2</w:t>
        </w:r>
      </w:hyperlink>
      <w:r w:rsidRPr="0068694D">
        <w:rPr>
          <w:rStyle w:val="a5"/>
          <w:i w:val="0"/>
        </w:rPr>
        <w:t> и 3 ст.45 ТК):</w:t>
      </w:r>
    </w:p>
    <w:p w:rsidR="0068694D" w:rsidRPr="0068694D" w:rsidRDefault="0068694D" w:rsidP="0068694D">
      <w:pPr>
        <w:pStyle w:val="listtext1"/>
        <w:spacing w:before="0" w:beforeAutospacing="0" w:after="160" w:afterAutospacing="0"/>
        <w:ind w:left="1155"/>
        <w:jc w:val="both"/>
        <w:rPr>
          <w:rStyle w:val="a5"/>
          <w:i w:val="0"/>
        </w:rPr>
      </w:pPr>
      <w:r w:rsidRPr="0068694D">
        <w:rPr>
          <w:rStyle w:val="a5"/>
          <w:i w:val="0"/>
        </w:rPr>
        <w:t>1) участники ликвидации последствий катастрофы на Чернобыльской АЭС;</w:t>
      </w:r>
    </w:p>
    <w:p w:rsidR="0068694D" w:rsidRPr="0068694D" w:rsidRDefault="0068694D" w:rsidP="0068694D">
      <w:pPr>
        <w:pStyle w:val="listtext1"/>
        <w:spacing w:before="0" w:beforeAutospacing="0" w:after="160" w:afterAutospacing="0"/>
        <w:ind w:left="1155"/>
        <w:jc w:val="both"/>
        <w:rPr>
          <w:rStyle w:val="a5"/>
          <w:i w:val="0"/>
        </w:rPr>
      </w:pPr>
      <w:r w:rsidRPr="0068694D">
        <w:rPr>
          <w:rStyle w:val="a5"/>
          <w:i w:val="0"/>
        </w:rPr>
        <w:t>2) заболевшие и перенесшие лучевую болезнь, вызванную последствиями катастрофы на Чернобыльской АЭС, других радиационных аварий;</w:t>
      </w:r>
    </w:p>
    <w:p w:rsidR="0068694D" w:rsidRPr="0068694D" w:rsidRDefault="0068694D" w:rsidP="0068694D">
      <w:pPr>
        <w:pStyle w:val="listtext1"/>
        <w:spacing w:before="0" w:beforeAutospacing="0" w:after="160" w:afterAutospacing="0"/>
        <w:ind w:left="1155"/>
        <w:jc w:val="both"/>
        <w:rPr>
          <w:rStyle w:val="a5"/>
          <w:i w:val="0"/>
        </w:rPr>
      </w:pPr>
      <w:r w:rsidRPr="0068694D">
        <w:rPr>
          <w:rStyle w:val="a5"/>
          <w:i w:val="0"/>
        </w:rPr>
        <w:t>3) инвалиды. Они имеют преимущественное право на оставление на работе независимо от производительности труда и квалификации в случаях, если работают в организациях, имущество которых находится в собственности общественных объединений инвалидов, а также в цехах и на участках, применяющих труд инвалидов, в других организациях;</w:t>
      </w:r>
    </w:p>
    <w:p w:rsidR="0068694D" w:rsidRDefault="0068694D" w:rsidP="0068694D">
      <w:pPr>
        <w:pStyle w:val="listtext1"/>
        <w:spacing w:before="0" w:beforeAutospacing="0" w:after="0" w:afterAutospacing="0"/>
        <w:ind w:left="1155"/>
        <w:jc w:val="both"/>
        <w:rPr>
          <w:rFonts w:ascii="Arial" w:hAnsi="Arial" w:cs="Arial"/>
          <w:color w:val="000000"/>
        </w:rPr>
      </w:pPr>
      <w:r w:rsidRPr="0068694D">
        <w:rPr>
          <w:rStyle w:val="a5"/>
          <w:i w:val="0"/>
        </w:rPr>
        <w:t xml:space="preserve">4) другие категории работников, предусмотренные законодательством, коллективным договором, соглашением. Например, лица, избранные в состав </w:t>
      </w:r>
      <w:r w:rsidRPr="0068694D">
        <w:rPr>
          <w:rStyle w:val="a5"/>
          <w:i w:val="0"/>
        </w:rPr>
        <w:lastRenderedPageBreak/>
        <w:t>профсоюзных органов (</w:t>
      </w:r>
      <w:hyperlink r:id="rId13" w:anchor="a95" w:tooltip="+" w:history="1">
        <w:r w:rsidRPr="0068694D">
          <w:rPr>
            <w:rStyle w:val="a5"/>
            <w:i w:val="0"/>
          </w:rPr>
          <w:t>абз.4</w:t>
        </w:r>
      </w:hyperlink>
      <w:r w:rsidRPr="0068694D">
        <w:rPr>
          <w:rStyle w:val="a5"/>
          <w:i w:val="0"/>
        </w:rPr>
        <w:t> ч.1 ст.24 Закона от 22.04.1992 № 1605-XII «О профессиональных союзах»).</w:t>
      </w:r>
    </w:p>
    <w:p w:rsidR="0068694D" w:rsidRDefault="0068694D" w:rsidP="0068694D">
      <w:pPr>
        <w:pStyle w:val="justify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9913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258"/>
        <w:gridCol w:w="7655"/>
      </w:tblGrid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68694D" w:rsidRPr="0068694D" w:rsidRDefault="0068694D" w:rsidP="0068694D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68694D" w:rsidRPr="0068694D" w:rsidRDefault="0068694D" w:rsidP="0068694D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Пояснение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Сокращение штата, численности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Норма </w:t>
            </w:r>
            <w:hyperlink r:id="rId14" w:anchor="a6676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ТК</w:t>
              </w:r>
            </w:hyperlink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hyperlink r:id="rId15" w:anchor="a10059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Пункт 1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ст.42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 Исключение из штатного расписания в установленном порядке одной или нескольких штатных единиц по соответствующим должностям или уменьшение количества работников.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2. Невозможно перевести работника с его согласия на другую работу (</w:t>
            </w:r>
            <w:hyperlink r:id="rId16" w:anchor="a10087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ч.1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ст.43 ТК) либо работник отказался от перевода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 Трудовые договоры расторгаются только с отдельными работниками.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2. Есть категории работников, которых запрещено увольнять.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3. Есть работники, которым предоставляется преимущественное право на оставление на работе (</w:t>
            </w:r>
            <w:hyperlink r:id="rId17" w:anchor="a4132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ст.45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4. Необходимо получить согласие районной (городской) комиссии по делам несовершеннолетних при увольнении работников моложе 18 лет (</w:t>
            </w:r>
            <w:hyperlink r:id="rId18" w:anchor="a328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ст.282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5. Необходимо письменно сообщить в учреждение образования об увольнении молодого специалиста в 15-дневный срок со дня увольнения (</w:t>
            </w:r>
            <w:hyperlink r:id="rId19" w:anchor="a241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п.35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Положения № 572).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6. Выплачивается выходное пособие в размере не менее трехкратного среднемесячного заработка (</w:t>
            </w:r>
            <w:hyperlink r:id="rId20" w:anchor="a9652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ч.3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ст.48 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7. Наниматель (с согласия работника) имеет право заменить предупреждение о предстоящем увольнении выплатой компенсации в размере двухмесячного среднего заработка (</w:t>
            </w:r>
            <w:hyperlink r:id="rId21" w:anchor="a9651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ч.5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ст.43 ТК)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Алгоритм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Шаг 1. Принятие решения о сокращении численности или штата работников. Издание соответствующего приказа.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2. Определение работников, подлежащих сокращению.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3. Письменное уведомление работника о предстоящем увольнении не менее чем за 2 месяца до увольнения, если более продолжительные сроки не предусмотрены в коллективном договоре, соглашении (</w:t>
            </w:r>
            <w:hyperlink r:id="rId22" w:anchor="a9606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ч.3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ст.43 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4. Предложение работнику в течение всего срока предупреждения о предстоящем сокращении другой работы, которую работник может выполнять с учетом специальности и квалификации (</w:t>
            </w:r>
            <w:hyperlink r:id="rId23" w:anchor="a9704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ч.4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ст.43 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5. Предоставление работнику 1 свободного дня в неделю без сохранения зарплаты (по договоренности с нанимателем - с сохранением зарплаты) для решения вопроса о самостоятельном трудоустройстве у других нанимателей (</w:t>
            </w:r>
            <w:hyperlink r:id="rId24" w:anchor="a9711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ч.7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ст.43 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6. Уведомление органа по труду, занятости и соцзащите о предстоящем массовом высвобождении не менее чем за 2 месяца (</w:t>
            </w:r>
            <w:hyperlink r:id="rId25" w:anchor="a9606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ч.3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ст.43 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7. Уведомление профсоюза (при его наличии) не позднее чем за 2 недели (</w:t>
            </w:r>
            <w:hyperlink r:id="rId26" w:anchor="a9839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ч.1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ст.46 ТК).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8. Издание приказа об увольнении работника.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 9. Окончательный расчет с работником. Внесение сведений об увольнении в личную карточку (по усмотрению нанимателя</w:t>
            </w:r>
            <w:proofErr w:type="gramStart"/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Шаг</w:t>
            </w:r>
            <w:proofErr w:type="gramEnd"/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10. Внесение записи в трудовую книжку и выдача трудовой книжки.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lastRenderedPageBreak/>
              <w:t>Шаг 11. Направление в военкомат (другие организации) сведений об уволенном работнике и оформление документов по персонифицированному учету. Сдача личного дела (если оно было оформлено)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lastRenderedPageBreak/>
              <w:t>Документы, необходимые для увольнения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 Приказ о сокращении численности работников организации.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2. Новое штатное расписание.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3. Уведомление работнику о предстоящем увольнении (сокращение численности работников).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4. Уведомление о наличии подходящих вакансий в связи с сокращением численности работников.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5. Уведомление органа по труду, занятости и соцзащите о предстоящем массовом высвобождении.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6. </w:t>
            </w:r>
            <w:hyperlink r:id="rId27" w:anchor="a1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Уведомление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профсоюза организации о предстоящем сокращении численности и штата работников (пример).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7. Приказ об увольнении по </w:t>
            </w:r>
            <w:hyperlink r:id="rId28" w:anchor="a10059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п.1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ст.42 ТК</w:t>
            </w: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Формулировка в приказе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«</w:t>
            </w:r>
            <w:proofErr w:type="gramStart"/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УВОЛИТЬ: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ИВАНОВА</w:t>
            </w:r>
            <w:proofErr w:type="gramEnd"/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Петра Сергеевича, бухгалтера, 10.09.2020 в связи с сокращением штата работников (</w:t>
            </w:r>
            <w:hyperlink r:id="rId29" w:anchor="a10059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пункт 1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статьи 42 Трудового кодекса Республики Беларусь) с выплатой выходного пособия в размере трехкратного среднемесячного заработка (</w:t>
            </w:r>
            <w:hyperlink r:id="rId30" w:anchor="a9652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часть третья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статьи 48 Трудового кодекса Республики Беларусь).</w:t>
            </w: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br/>
              <w:t>Трудовой отпуск использован по 15.09.2020.</w:t>
            </w:r>
          </w:p>
          <w:tbl>
            <w:tblPr>
              <w:tblW w:w="10421" w:type="dxa"/>
              <w:tblLayout w:type="fixed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9003"/>
            </w:tblGrid>
            <w:tr w:rsidR="0068694D" w:rsidRPr="0068694D" w:rsidTr="006869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8694D" w:rsidRPr="0068694D" w:rsidRDefault="0068694D" w:rsidP="0068694D">
                  <w:pPr>
                    <w:spacing w:after="0" w:line="240" w:lineRule="auto"/>
                    <w:rPr>
                      <w:rStyle w:val="a5"/>
                      <w:rFonts w:ascii="Times New Roman" w:hAnsi="Times New Roman" w:cs="Times New Roman"/>
                      <w:i w:val="0"/>
                      <w:sz w:val="24"/>
                      <w:szCs w:val="24"/>
                      <w:lang w:eastAsia="ru-RU"/>
                    </w:rPr>
                  </w:pPr>
                  <w:r w:rsidRPr="0068694D">
                    <w:rPr>
                      <w:rStyle w:val="a5"/>
                      <w:rFonts w:ascii="Times New Roman" w:hAnsi="Times New Roman" w:cs="Times New Roman"/>
                      <w:i w:val="0"/>
                      <w:sz w:val="24"/>
                      <w:szCs w:val="24"/>
                      <w:lang w:eastAsia="ru-RU"/>
                    </w:rPr>
                    <w:t>Основание:</w:t>
                  </w:r>
                </w:p>
              </w:tc>
              <w:tc>
                <w:tcPr>
                  <w:tcW w:w="9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8694D" w:rsidRPr="0068694D" w:rsidRDefault="0068694D" w:rsidP="0068694D">
                  <w:pPr>
                    <w:spacing w:after="0" w:line="240" w:lineRule="auto"/>
                    <w:rPr>
                      <w:rStyle w:val="a5"/>
                      <w:rFonts w:ascii="Times New Roman" w:hAnsi="Times New Roman" w:cs="Times New Roman"/>
                      <w:i w:val="0"/>
                      <w:sz w:val="24"/>
                      <w:szCs w:val="24"/>
                      <w:lang w:eastAsia="ru-RU"/>
                    </w:rPr>
                  </w:pPr>
                  <w:r w:rsidRPr="0068694D">
                    <w:rPr>
                      <w:rStyle w:val="a5"/>
                      <w:rFonts w:ascii="Times New Roman" w:hAnsi="Times New Roman" w:cs="Times New Roman"/>
                      <w:i w:val="0"/>
                      <w:sz w:val="24"/>
                      <w:szCs w:val="24"/>
                      <w:lang w:eastAsia="ru-RU"/>
                    </w:rPr>
                    <w:t>приказ от 31.06.2020 № 23»</w:t>
                  </w:r>
                </w:p>
              </w:tc>
            </w:tr>
          </w:tbl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</w:tr>
      <w:tr w:rsidR="0068694D" w:rsidRPr="0068694D" w:rsidTr="0068694D">
        <w:tc>
          <w:tcPr>
            <w:tcW w:w="225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Запись в трудовую книжку</w:t>
            </w:r>
          </w:p>
        </w:tc>
        <w:tc>
          <w:tcPr>
            <w:tcW w:w="76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8694D" w:rsidRPr="0068694D" w:rsidRDefault="0068694D" w:rsidP="0068694D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«Уволен(а) в связи с сокращением численности работников, </w:t>
            </w:r>
            <w:hyperlink r:id="rId31" w:anchor="a10059" w:tooltip="+" w:history="1">
              <w:r w:rsidRPr="0068694D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  <w:lang w:eastAsia="ru-RU"/>
                </w:rPr>
                <w:t>пункт 1</w:t>
              </w:r>
            </w:hyperlink>
            <w:r w:rsidRPr="0068694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 статьи 42 Трудового кодекса Республики Беларусь»</w:t>
            </w:r>
          </w:p>
        </w:tc>
      </w:tr>
    </w:tbl>
    <w:p w:rsidR="00CD2C31" w:rsidRDefault="00CD2C31">
      <w:bookmarkStart w:id="0" w:name="_GoBack"/>
      <w:bookmarkEnd w:id="0"/>
    </w:p>
    <w:sectPr w:rsidR="00CD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71"/>
    <w:rsid w:val="00127E71"/>
    <w:rsid w:val="0068694D"/>
    <w:rsid w:val="00C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315A0-ED7F-4B46-B1D9-6B879F2E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68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68694D"/>
  </w:style>
  <w:style w:type="character" w:styleId="a3">
    <w:name w:val="Hyperlink"/>
    <w:basedOn w:val="a0"/>
    <w:uiPriority w:val="99"/>
    <w:semiHidden/>
    <w:unhideWhenUsed/>
    <w:rsid w:val="0068694D"/>
    <w:rPr>
      <w:color w:val="0000FF"/>
      <w:u w:val="single"/>
    </w:rPr>
  </w:style>
  <w:style w:type="paragraph" w:customStyle="1" w:styleId="listtext1">
    <w:name w:val="list_text_1"/>
    <w:basedOn w:val="a"/>
    <w:rsid w:val="0068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sit">
    <w:name w:val="prim_sit"/>
    <w:basedOn w:val="a"/>
    <w:rsid w:val="0068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68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68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68694D"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sid w:val="00686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657552" TargetMode="External"/><Relationship Id="rId13" Type="http://schemas.openxmlformats.org/officeDocument/2006/relationships/hyperlink" Target="https://bii.by/docs/34256" TargetMode="External"/><Relationship Id="rId18" Type="http://schemas.openxmlformats.org/officeDocument/2006/relationships/hyperlink" Target="https://bii.by/docs/33380" TargetMode="External"/><Relationship Id="rId26" Type="http://schemas.openxmlformats.org/officeDocument/2006/relationships/hyperlink" Target="https://bii.by/docs/333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docs/33380" TargetMode="External"/><Relationship Id="rId7" Type="http://schemas.openxmlformats.org/officeDocument/2006/relationships/hyperlink" Target="https://bii.by/docs/33380" TargetMode="External"/><Relationship Id="rId12" Type="http://schemas.openxmlformats.org/officeDocument/2006/relationships/hyperlink" Target="https://bii.by/docs/33380" TargetMode="External"/><Relationship Id="rId17" Type="http://schemas.openxmlformats.org/officeDocument/2006/relationships/hyperlink" Target="https://bii.by/docs/33380" TargetMode="External"/><Relationship Id="rId25" Type="http://schemas.openxmlformats.org/officeDocument/2006/relationships/hyperlink" Target="https://bii.by/docs/3338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i.by/docs/33380" TargetMode="External"/><Relationship Id="rId20" Type="http://schemas.openxmlformats.org/officeDocument/2006/relationships/hyperlink" Target="https://bii.by/docs/33380" TargetMode="External"/><Relationship Id="rId29" Type="http://schemas.openxmlformats.org/officeDocument/2006/relationships/hyperlink" Target="https://bii.by/docs/33380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33380" TargetMode="External"/><Relationship Id="rId11" Type="http://schemas.openxmlformats.org/officeDocument/2006/relationships/hyperlink" Target="https://bii.by/docs/33380" TargetMode="External"/><Relationship Id="rId24" Type="http://schemas.openxmlformats.org/officeDocument/2006/relationships/hyperlink" Target="https://bii.by/docs/3338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ii.by/docs/33380" TargetMode="External"/><Relationship Id="rId15" Type="http://schemas.openxmlformats.org/officeDocument/2006/relationships/hyperlink" Target="https://bii.by/docs/33380" TargetMode="External"/><Relationship Id="rId23" Type="http://schemas.openxmlformats.org/officeDocument/2006/relationships/hyperlink" Target="https://bii.by/docs/33380" TargetMode="External"/><Relationship Id="rId28" Type="http://schemas.openxmlformats.org/officeDocument/2006/relationships/hyperlink" Target="https://bii.by/docs/33380" TargetMode="External"/><Relationship Id="rId10" Type="http://schemas.openxmlformats.org/officeDocument/2006/relationships/hyperlink" Target="https://bii.by/docs/33380" TargetMode="External"/><Relationship Id="rId19" Type="http://schemas.openxmlformats.org/officeDocument/2006/relationships/hyperlink" Target="https://bii.by/docs/610415" TargetMode="External"/><Relationship Id="rId31" Type="http://schemas.openxmlformats.org/officeDocument/2006/relationships/hyperlink" Target="https://bii.by/docs/33380" TargetMode="External"/><Relationship Id="rId4" Type="http://schemas.openxmlformats.org/officeDocument/2006/relationships/hyperlink" Target="https://bii.by/docs/33380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bii.by/docs/33380" TargetMode="External"/><Relationship Id="rId22" Type="http://schemas.openxmlformats.org/officeDocument/2006/relationships/hyperlink" Target="https://bii.by/docs/33380" TargetMode="External"/><Relationship Id="rId27" Type="http://schemas.openxmlformats.org/officeDocument/2006/relationships/hyperlink" Target="https://bii.by/docs/387121" TargetMode="External"/><Relationship Id="rId30" Type="http://schemas.openxmlformats.org/officeDocument/2006/relationships/hyperlink" Target="https://bii.by/docs/33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Егорова</cp:lastModifiedBy>
  <cp:revision>2</cp:revision>
  <dcterms:created xsi:type="dcterms:W3CDTF">2025-09-18T11:27:00Z</dcterms:created>
  <dcterms:modified xsi:type="dcterms:W3CDTF">2025-09-18T11:38:00Z</dcterms:modified>
</cp:coreProperties>
</file>