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5"/>
        <w:gridCol w:w="4771"/>
        <w:gridCol w:w="2629"/>
      </w:tblGrid>
      <w:tr w:rsidR="00DD3C07" w:rsidRPr="006747C1" w:rsidTr="00DD3C07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D3C07" w:rsidRPr="006747C1" w:rsidRDefault="00DD3C07" w:rsidP="00DD3C07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  <w:t>Надбавки и повышения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D3C07" w:rsidRPr="006747C1" w:rsidRDefault="00DD3C07" w:rsidP="00DD3C07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  <w:t>Категория лиц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D3C07" w:rsidRPr="006747C1" w:rsidRDefault="00DD3C07" w:rsidP="00DD3C07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  <w:t>% от минимального размера пенсии по возрасту*</w:t>
            </w:r>
          </w:p>
        </w:tc>
      </w:tr>
      <w:tr w:rsidR="00DD3C07" w:rsidRPr="006747C1" w:rsidTr="00DD3C07">
        <w:tc>
          <w:tcPr>
            <w:tcW w:w="0" w:type="auto"/>
            <w:gridSpan w:val="3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D3C07" w:rsidRPr="006747C1" w:rsidRDefault="00DD3C07" w:rsidP="00B80E26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</w:rPr>
              <w:t xml:space="preserve">Надбавка на уход по Закону </w:t>
            </w:r>
            <w:r w:rsidR="00B80E26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</w:rPr>
              <w:t>Республики Беларусь «</w:t>
            </w:r>
            <w:r w:rsidRPr="006747C1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</w:rPr>
              <w:t>О пенсионном обеспечении» к пенсиям: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по возрасту и выслуге лет (ст. 25 и 50-1 3акона)**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100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одиноким пенсионерам,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по инвалидности (ст.33 Закона)**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100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одиноким инвалидам 2 группы,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по случаю потери кормильца (ст. 41-1 Закона)**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100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одиноким пенсионерам,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детям-инвалидам в возрасте до 18 лет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с детства ІІ группы</w:t>
            </w:r>
          </w:p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gridSpan w:val="3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D3C07" w:rsidRPr="006747C1" w:rsidRDefault="00DD3C07" w:rsidP="00DD3C07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</w:rPr>
              <w:lastRenderedPageBreak/>
              <w:t>Повышения пенсий по Закону «О пенсионном обеспечении»</w:t>
            </w:r>
          </w:p>
        </w:tc>
      </w:tr>
      <w:tr w:rsidR="00DD3C07" w:rsidRPr="006747C1" w:rsidTr="00DD3C07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п. «а» ст. 68 Закона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Героям Беларуси, Героям Советского Союза, Героям Социалистического Труда, лицам, награжденным орденами Славы трех степеней, орденами Трудовой Славы трех степеней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500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п. «б» ст. 68 Закона**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войны І и ІІ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400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войны ІІІ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250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военнослужащим, лицам начальствующего и рядового состава органов внутренних дел, проходившим службу в составе действующей армии либо принимавшим участие в боевых действиях при выполнении интернационального долга, и партизанам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250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лицам из числа вольнонаемного состава, проходившим службу или работавшим в составе действующей армии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250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1943–1945 годах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250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лицам, работавшим в период блокады города Ленинграда на предприятиях, в учреждениях и организациях города, и лицам, награжденным знаком «Жителю блокадного Ленинграда»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100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бывшим узникам фашистских концлагерей (гетто и других мест </w:t>
            </w: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lastRenderedPageBreak/>
              <w:t>принудительного содержания в период войны), если они не совершили в этот период преступлений против Родины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lastRenderedPageBreak/>
              <w:t>100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с детства вследствие ранения, контузии или увечья, связанных с боевыми действиями в период Великой Отечественной войны (либо с последствиями военных действий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лицам, награжденным орденами и медалями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п. «г» ст. 68 Закона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родителям и женам (не вступившим в новый брак)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180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детям – инвалидам с детства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обязанностей)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100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родителям, женам (не вступившим в новый брак) и детям – инвалидам с детства умерших инвалидов войны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100</w:t>
            </w:r>
          </w:p>
        </w:tc>
      </w:tr>
      <w:tr w:rsidR="00DD3C07" w:rsidRPr="006747C1" w:rsidTr="00DD3C07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п. «г» ст. 68 Закона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гражданам, необоснованно репрессированным по политическим, социальным, национальным, религиозным и иным мотивам в период репрессий 20–80-х годов, в том числе детям, находившимся вместе с родителями в местах лишения свободы, в ссылке, высылке, на </w:t>
            </w:r>
            <w:proofErr w:type="spellStart"/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спецпоселении</w:t>
            </w:r>
            <w:proofErr w:type="spellEnd"/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, и впоследствии реабилитированным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п. «</w:t>
            </w:r>
            <w:proofErr w:type="spellStart"/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д</w:t>
            </w:r>
            <w:proofErr w:type="spellEnd"/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» ст. 68 Закона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6747C1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донорам, </w:t>
            </w:r>
            <w:r w:rsidR="006747C1"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награжденным нагрудным знаком отличия Министерства здравоохранения «</w:t>
            </w:r>
            <w:proofErr w:type="spellStart"/>
            <w:r w:rsidR="006747C1"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Ганаровы</w:t>
            </w:r>
            <w:proofErr w:type="spellEnd"/>
            <w:r w:rsidR="006747C1"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 </w:t>
            </w:r>
            <w:proofErr w:type="spellStart"/>
            <w:r w:rsidR="006747C1"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донар</w:t>
            </w:r>
            <w:proofErr w:type="spellEnd"/>
            <w:r w:rsidR="006747C1"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 </w:t>
            </w:r>
            <w:proofErr w:type="spellStart"/>
            <w:r w:rsidR="006747C1"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Рэспублiкi</w:t>
            </w:r>
            <w:proofErr w:type="spellEnd"/>
            <w:r w:rsidR="006747C1"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БССР»</w:t>
            </w: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, по достижении общеустановленного пенсионного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40</w:t>
            </w:r>
          </w:p>
        </w:tc>
      </w:tr>
      <w:tr w:rsidR="00DD3C07" w:rsidRPr="006747C1" w:rsidTr="00DD3C07">
        <w:trPr>
          <w:trHeight w:val="1468"/>
        </w:trPr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часть третья ст. 68 Закона (повышаются только пенсии по возрасту)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с детства, инвалидность которым установлена пожизненно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gridSpan w:val="3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D3C07" w:rsidRPr="006747C1" w:rsidRDefault="00DD3C07" w:rsidP="00DD3C07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</w:rPr>
              <w:t>Доплаты к пенсиям неработающих пенсионеров по Указу Президента Республики Беларусь от 16 января 2012г. №35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достигших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75 лет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75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80 лет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100</w:t>
            </w:r>
          </w:p>
        </w:tc>
      </w:tr>
      <w:tr w:rsidR="00DD3C07" w:rsidRPr="006747C1" w:rsidTr="00DD3C07">
        <w:tc>
          <w:tcPr>
            <w:tcW w:w="0" w:type="auto"/>
            <w:gridSpan w:val="3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D3C07" w:rsidRPr="006747C1" w:rsidRDefault="00DD3C07" w:rsidP="00DD3C07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</w:rPr>
              <w:t>Повышения пенсий по Закону «О социальной защите граждан, пострадавших от катастрофы на Чернобыльской АЭС, других радиационных аварий»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п.1ст. 39 Закона </w:t>
            </w: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lastRenderedPageBreak/>
              <w:t>ЧАЭС**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lastRenderedPageBreak/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100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2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75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инвалидам 3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п.2 ст. 39 Закона ЧАЭС**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участникам ликвидации последствий катастрофы на ЧАЭ, принимавшие участие в работах по ликвидации последствий катастрофы на Чернобыльской АЭС в 1986–1987 годах в зоне эвакуации (отчуждения) или занятые в этот период на эксплуатации или других работах на указанной станции (в т. ч.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граждане, принимавшие непосредственное участие в испытаниях ядерного оружия в атмосфере или под водой, боевых радиоактивных веществ, учениях с применением таких оружия, веществ до даты фактического прекращения таких испытаний и учений;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граждане, принимавшие непосредственное участие в подземных испытаниях ядерного оружия или проведении подземных ядерных взрывов в научно-технических целях в условиях нештатных радиационных ситуаций и действия других поражающих факторов ядерного оружия;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граждане, принимавшие непосредственное участие в ликвидации радиационных аварий </w:t>
            </w: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lastRenderedPageBreak/>
              <w:t xml:space="preserve">на ядерных энергетических установках надводных и подводных кораблей и других военных объектах, а также на производственном объединении «Маяк» в период с 29 сентября 1957 года по 31 декабря 1958 года, в проведении защитных мероприятий и реабилитации загрязненных радионуклидами территорий вдоль реки </w:t>
            </w:r>
            <w:proofErr w:type="spellStart"/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Теча</w:t>
            </w:r>
            <w:proofErr w:type="spellEnd"/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 в период с 1 января 1949 года по 31 декабря 1956 года;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lastRenderedPageBreak/>
              <w:t>50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специалисты из числа отдельных подразделений по сборке (разборке) ядерных зарядов, выполнявшие эти работы до 31 декабря 1961 года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50</w:t>
            </w:r>
          </w:p>
        </w:tc>
      </w:tr>
      <w:tr w:rsidR="00DD3C07" w:rsidRPr="006747C1" w:rsidTr="00DD3C07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п.3 ст.39 Закона ЧАЭС**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участникам ликвидации последствий катастрофы на ЧАЭС,</w:t>
            </w:r>
          </w:p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принимавшие участие в работах по ликвидации последствий катастрофы на Чернобыльской АЭС в 1988–1989 годах в зоне эвакуации (отчуждения) или занятые в этот период на эксплуатации или других работах на указанной станции (в т. ч.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>25</w:t>
            </w:r>
          </w:p>
        </w:tc>
      </w:tr>
      <w:tr w:rsidR="00DD3C07" w:rsidRPr="006747C1" w:rsidTr="00DD3C07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DD3C07" w:rsidRPr="006747C1" w:rsidRDefault="00DD3C07" w:rsidP="00DD3C07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t xml:space="preserve">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</w:t>
            </w: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lastRenderedPageBreak/>
              <w:t>внутриутробном состоянии), за исключением прибывших в указанные зоны после 1 января 1990 года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D3C07" w:rsidRPr="006747C1" w:rsidRDefault="00DD3C07" w:rsidP="00DD3C07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</w:rPr>
            </w:pPr>
            <w:r w:rsidRPr="006747C1">
              <w:rPr>
                <w:rFonts w:ascii="Arial" w:eastAsia="Times New Roman" w:hAnsi="Arial" w:cs="Arial"/>
                <w:color w:val="1D263D"/>
                <w:sz w:val="24"/>
                <w:szCs w:val="24"/>
              </w:rPr>
              <w:lastRenderedPageBreak/>
              <w:t>25</w:t>
            </w:r>
          </w:p>
        </w:tc>
      </w:tr>
    </w:tbl>
    <w:p w:rsidR="00DD3C07" w:rsidRPr="00DD3C07" w:rsidRDefault="00DD3C07" w:rsidP="00DD3C07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1D263D"/>
          <w:sz w:val="24"/>
          <w:szCs w:val="24"/>
        </w:rPr>
      </w:pPr>
      <w:r w:rsidRPr="006747C1">
        <w:rPr>
          <w:rFonts w:ascii="Arial" w:eastAsia="Times New Roman" w:hAnsi="Arial" w:cs="Arial"/>
          <w:i/>
          <w:iCs/>
          <w:color w:val="1D263D"/>
          <w:sz w:val="24"/>
          <w:szCs w:val="24"/>
        </w:rPr>
        <w:lastRenderedPageBreak/>
        <w:t>* Минимальный размер пенсии по возрасту составляет 25 процентов наибольшей величины бюджета прожиточного минимума в среднем на душу населения, утвержденного Правительством Республики Беларусь за два</w:t>
      </w:r>
      <w:r w:rsidRPr="00DD3C07">
        <w:rPr>
          <w:rFonts w:ascii="Arial" w:eastAsia="Times New Roman" w:hAnsi="Arial" w:cs="Arial"/>
          <w:i/>
          <w:iCs/>
          <w:color w:val="1D263D"/>
          <w:sz w:val="24"/>
          <w:szCs w:val="24"/>
        </w:rPr>
        <w:t xml:space="preserve"> последних квартала (ст. 23 Закона)</w:t>
      </w:r>
    </w:p>
    <w:p w:rsidR="00DD3C07" w:rsidRPr="00DD3C07" w:rsidRDefault="00DD3C07" w:rsidP="00DD3C07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1D263D"/>
          <w:sz w:val="24"/>
          <w:szCs w:val="24"/>
        </w:rPr>
      </w:pPr>
      <w:r w:rsidRPr="00DD3C07">
        <w:rPr>
          <w:rFonts w:ascii="Arial" w:eastAsia="Times New Roman" w:hAnsi="Arial" w:cs="Arial"/>
          <w:i/>
          <w:iCs/>
          <w:color w:val="1D263D"/>
          <w:sz w:val="24"/>
          <w:szCs w:val="24"/>
        </w:rPr>
        <w:t>* При наличии права на надбавку (повышение) по нескольким основаниям, указанным в статьях 25, 33, 41-1, 50-1 и п. «б» статьи 68 Закона, а также в статье 39 Закона ЧАЭС (независимо по какому пункту ст. 39 Закона ЧАЭС имеет право на повышение пенсии), надбавка (повышение) устанавливается по выбору гражданина по одному из оснований.</w:t>
      </w:r>
    </w:p>
    <w:p w:rsidR="00350206" w:rsidRDefault="00350206"/>
    <w:sectPr w:rsidR="00350206" w:rsidSect="00DD3C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3C07"/>
    <w:rsid w:val="00350206"/>
    <w:rsid w:val="003E727C"/>
    <w:rsid w:val="0065230B"/>
    <w:rsid w:val="006747C1"/>
    <w:rsid w:val="00835C5C"/>
    <w:rsid w:val="00B80E26"/>
    <w:rsid w:val="00DD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3C07"/>
    <w:rPr>
      <w:i/>
      <w:iCs/>
    </w:rPr>
  </w:style>
  <w:style w:type="character" w:styleId="a5">
    <w:name w:val="Strong"/>
    <w:basedOn w:val="a0"/>
    <w:uiPriority w:val="22"/>
    <w:qFormat/>
    <w:rsid w:val="00DD3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</dc:creator>
  <cp:keywords/>
  <dc:description/>
  <cp:lastModifiedBy>u020</cp:lastModifiedBy>
  <cp:revision>5</cp:revision>
  <cp:lastPrinted>2021-10-21T06:28:00Z</cp:lastPrinted>
  <dcterms:created xsi:type="dcterms:W3CDTF">2021-10-21T06:26:00Z</dcterms:created>
  <dcterms:modified xsi:type="dcterms:W3CDTF">2023-09-04T07:41:00Z</dcterms:modified>
</cp:coreProperties>
</file>